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931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B91700" w14:paraId="435F6435" w14:textId="77777777" w:rsidTr="00B91700">
        <w:tc>
          <w:tcPr>
            <w:tcW w:w="9010" w:type="dxa"/>
            <w:gridSpan w:val="2"/>
            <w:shd w:val="clear" w:color="auto" w:fill="D1D1D1" w:themeFill="background2" w:themeFillShade="E6"/>
          </w:tcPr>
          <w:p w14:paraId="475FDAF3" w14:textId="7E01B441" w:rsidR="00B91700" w:rsidRPr="00D36F61" w:rsidRDefault="00B91700" w:rsidP="00B91700">
            <w:pPr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4A35D6" wp14:editId="2A4380C8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-803464</wp:posOffset>
                  </wp:positionV>
                  <wp:extent cx="5727700" cy="558800"/>
                  <wp:effectExtent l="0" t="0" r="0" b="0"/>
                  <wp:wrapNone/>
                  <wp:docPr id="186750803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508033" name="Picture 186750803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77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6F61">
              <w:rPr>
                <w:b/>
                <w:bCs/>
              </w:rPr>
              <w:t>Role Description</w:t>
            </w:r>
          </w:p>
        </w:tc>
      </w:tr>
      <w:tr w:rsidR="00B91700" w14:paraId="69CD19B9" w14:textId="77777777" w:rsidTr="00B91700">
        <w:tc>
          <w:tcPr>
            <w:tcW w:w="2263" w:type="dxa"/>
            <w:shd w:val="clear" w:color="auto" w:fill="E8E8E8" w:themeFill="background2"/>
          </w:tcPr>
          <w:p w14:paraId="3D942D7B" w14:textId="77777777" w:rsidR="00B91700" w:rsidRPr="00D36F61" w:rsidRDefault="00B91700" w:rsidP="00B91700">
            <w:pPr>
              <w:rPr>
                <w:b/>
                <w:bCs/>
                <w:sz w:val="22"/>
                <w:szCs w:val="22"/>
              </w:rPr>
            </w:pPr>
            <w:r w:rsidRPr="00D36F61">
              <w:rPr>
                <w:b/>
                <w:bCs/>
                <w:sz w:val="22"/>
                <w:szCs w:val="22"/>
              </w:rPr>
              <w:t>Role Title</w:t>
            </w:r>
          </w:p>
        </w:tc>
        <w:tc>
          <w:tcPr>
            <w:tcW w:w="6747" w:type="dxa"/>
          </w:tcPr>
          <w:p w14:paraId="7C64EA50" w14:textId="77777777" w:rsidR="00B91700" w:rsidRDefault="00B91700" w:rsidP="00B91700">
            <w:pPr>
              <w:rPr>
                <w:sz w:val="22"/>
                <w:szCs w:val="22"/>
              </w:rPr>
            </w:pPr>
            <w:r w:rsidRPr="00D36F61">
              <w:rPr>
                <w:sz w:val="22"/>
                <w:szCs w:val="22"/>
              </w:rPr>
              <w:t>Community Manager</w:t>
            </w:r>
          </w:p>
          <w:p w14:paraId="78A1948F" w14:textId="2119ECD3" w:rsidR="00B91700" w:rsidRPr="00D36F61" w:rsidRDefault="00B91700" w:rsidP="00B91700">
            <w:pPr>
              <w:rPr>
                <w:sz w:val="22"/>
                <w:szCs w:val="22"/>
              </w:rPr>
            </w:pPr>
          </w:p>
        </w:tc>
      </w:tr>
      <w:tr w:rsidR="00B91700" w14:paraId="1B9AF627" w14:textId="77777777" w:rsidTr="00B91700">
        <w:tc>
          <w:tcPr>
            <w:tcW w:w="2263" w:type="dxa"/>
            <w:shd w:val="clear" w:color="auto" w:fill="E8E8E8" w:themeFill="background2"/>
          </w:tcPr>
          <w:p w14:paraId="7C60BE12" w14:textId="77777777" w:rsidR="00B91700" w:rsidRPr="00D36F61" w:rsidRDefault="00B91700" w:rsidP="00B91700">
            <w:pPr>
              <w:rPr>
                <w:b/>
                <w:bCs/>
                <w:sz w:val="22"/>
                <w:szCs w:val="22"/>
              </w:rPr>
            </w:pPr>
            <w:r w:rsidRPr="00D36F61">
              <w:rPr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6747" w:type="dxa"/>
          </w:tcPr>
          <w:p w14:paraId="128505A4" w14:textId="292C5D8D" w:rsidR="00B91700" w:rsidRDefault="00B91700" w:rsidP="00B91700">
            <w:pPr>
              <w:rPr>
                <w:sz w:val="22"/>
                <w:szCs w:val="22"/>
              </w:rPr>
            </w:pPr>
            <w:r w:rsidRPr="00D36F61">
              <w:rPr>
                <w:sz w:val="22"/>
                <w:szCs w:val="22"/>
              </w:rPr>
              <w:t>£3</w:t>
            </w:r>
            <w:r w:rsidR="006B522E">
              <w:rPr>
                <w:sz w:val="22"/>
                <w:szCs w:val="22"/>
              </w:rPr>
              <w:t>0</w:t>
            </w:r>
            <w:r w:rsidRPr="00D36F61">
              <w:rPr>
                <w:sz w:val="22"/>
                <w:szCs w:val="22"/>
              </w:rPr>
              <w:t>,000</w:t>
            </w:r>
          </w:p>
          <w:p w14:paraId="2668C003" w14:textId="354E9DF4" w:rsidR="00B91700" w:rsidRPr="00D36F61" w:rsidRDefault="00B91700" w:rsidP="00B91700">
            <w:pPr>
              <w:rPr>
                <w:sz w:val="22"/>
                <w:szCs w:val="22"/>
              </w:rPr>
            </w:pPr>
          </w:p>
        </w:tc>
      </w:tr>
      <w:tr w:rsidR="00B91700" w14:paraId="67D92E9B" w14:textId="77777777" w:rsidTr="00B91700">
        <w:tc>
          <w:tcPr>
            <w:tcW w:w="2263" w:type="dxa"/>
            <w:shd w:val="clear" w:color="auto" w:fill="E8E8E8" w:themeFill="background2"/>
          </w:tcPr>
          <w:p w14:paraId="22E1FF73" w14:textId="77777777" w:rsidR="00B91700" w:rsidRPr="00D36F61" w:rsidRDefault="00B91700" w:rsidP="00B91700">
            <w:pPr>
              <w:rPr>
                <w:b/>
                <w:bCs/>
                <w:sz w:val="22"/>
                <w:szCs w:val="22"/>
              </w:rPr>
            </w:pPr>
            <w:r w:rsidRPr="00D36F61"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6747" w:type="dxa"/>
          </w:tcPr>
          <w:p w14:paraId="7D50EF0B" w14:textId="77777777" w:rsidR="00B91700" w:rsidRDefault="00B91700" w:rsidP="00B91700">
            <w:pPr>
              <w:rPr>
                <w:sz w:val="22"/>
                <w:szCs w:val="22"/>
              </w:rPr>
            </w:pPr>
            <w:r w:rsidRPr="00D36F61">
              <w:rPr>
                <w:sz w:val="22"/>
                <w:szCs w:val="22"/>
              </w:rPr>
              <w:t>Cardiff Arms Park and/or other locations as appropriate to the role</w:t>
            </w:r>
          </w:p>
          <w:p w14:paraId="5311AAFB" w14:textId="0C2FD896" w:rsidR="00B91700" w:rsidRPr="00D36F61" w:rsidRDefault="00B91700" w:rsidP="00B91700">
            <w:pPr>
              <w:rPr>
                <w:sz w:val="22"/>
                <w:szCs w:val="22"/>
              </w:rPr>
            </w:pPr>
          </w:p>
        </w:tc>
      </w:tr>
      <w:tr w:rsidR="00B91700" w14:paraId="6238245C" w14:textId="77777777" w:rsidTr="00B91700">
        <w:tc>
          <w:tcPr>
            <w:tcW w:w="2263" w:type="dxa"/>
            <w:shd w:val="clear" w:color="auto" w:fill="E8E8E8" w:themeFill="background2"/>
          </w:tcPr>
          <w:p w14:paraId="11DDDED5" w14:textId="77777777" w:rsidR="00B91700" w:rsidRPr="00D36F61" w:rsidRDefault="00B91700" w:rsidP="00B91700">
            <w:pPr>
              <w:rPr>
                <w:b/>
                <w:bCs/>
                <w:sz w:val="22"/>
                <w:szCs w:val="22"/>
              </w:rPr>
            </w:pPr>
            <w:r w:rsidRPr="00D36F61">
              <w:rPr>
                <w:b/>
                <w:bCs/>
                <w:sz w:val="22"/>
                <w:szCs w:val="22"/>
              </w:rPr>
              <w:t>Hours of Work</w:t>
            </w:r>
          </w:p>
        </w:tc>
        <w:tc>
          <w:tcPr>
            <w:tcW w:w="6747" w:type="dxa"/>
          </w:tcPr>
          <w:p w14:paraId="07BA41C9" w14:textId="141B873D" w:rsidR="00B91700" w:rsidRPr="00D36F61" w:rsidRDefault="00B91700" w:rsidP="00B91700">
            <w:pPr>
              <w:rPr>
                <w:sz w:val="22"/>
                <w:szCs w:val="22"/>
              </w:rPr>
            </w:pPr>
            <w:r w:rsidRPr="00D36F61">
              <w:rPr>
                <w:sz w:val="22"/>
                <w:szCs w:val="22"/>
              </w:rPr>
              <w:t>35 hrs per week</w:t>
            </w:r>
          </w:p>
          <w:p w14:paraId="0F7A7C89" w14:textId="77777777" w:rsidR="00B91700" w:rsidRPr="00D36F61" w:rsidRDefault="00B91700" w:rsidP="00B91700">
            <w:pPr>
              <w:rPr>
                <w:sz w:val="22"/>
                <w:szCs w:val="22"/>
              </w:rPr>
            </w:pPr>
          </w:p>
          <w:p w14:paraId="6908564E" w14:textId="77777777" w:rsidR="00B91700" w:rsidRPr="00063AE3" w:rsidRDefault="00B91700" w:rsidP="00B91700">
            <w:pPr>
              <w:pStyle w:val="p1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063AE3">
              <w:rPr>
                <w:rFonts w:asciiTheme="minorHAnsi" w:hAnsiTheme="minorHAnsi"/>
                <w:i/>
                <w:iCs/>
                <w:sz w:val="22"/>
                <w:szCs w:val="22"/>
              </w:rPr>
              <w:t>You will be expected to work additional hours to meet the requirements of your position including where your role requires you to work on match days</w:t>
            </w:r>
          </w:p>
          <w:p w14:paraId="7FE3D38F" w14:textId="77777777" w:rsidR="00B91700" w:rsidRPr="00D36F61" w:rsidRDefault="00B91700" w:rsidP="00B91700">
            <w:pPr>
              <w:rPr>
                <w:sz w:val="22"/>
                <w:szCs w:val="22"/>
              </w:rPr>
            </w:pPr>
          </w:p>
        </w:tc>
      </w:tr>
      <w:tr w:rsidR="00B91700" w14:paraId="7274B685" w14:textId="77777777" w:rsidTr="00B91700">
        <w:tc>
          <w:tcPr>
            <w:tcW w:w="2263" w:type="dxa"/>
            <w:shd w:val="clear" w:color="auto" w:fill="E8E8E8" w:themeFill="background2"/>
          </w:tcPr>
          <w:p w14:paraId="1ED7D097" w14:textId="77777777" w:rsidR="00B91700" w:rsidRPr="00D36F61" w:rsidRDefault="00B91700" w:rsidP="00B91700">
            <w:pPr>
              <w:rPr>
                <w:b/>
                <w:bCs/>
                <w:sz w:val="22"/>
                <w:szCs w:val="22"/>
              </w:rPr>
            </w:pPr>
            <w:r w:rsidRPr="00D36F61">
              <w:rPr>
                <w:b/>
                <w:bCs/>
                <w:sz w:val="22"/>
                <w:szCs w:val="22"/>
              </w:rPr>
              <w:t>Responsible to</w:t>
            </w:r>
          </w:p>
        </w:tc>
        <w:tc>
          <w:tcPr>
            <w:tcW w:w="6747" w:type="dxa"/>
          </w:tcPr>
          <w:p w14:paraId="17955431" w14:textId="77777777" w:rsidR="00B91700" w:rsidRDefault="00B91700" w:rsidP="00B91700">
            <w:pPr>
              <w:rPr>
                <w:sz w:val="22"/>
                <w:szCs w:val="22"/>
              </w:rPr>
            </w:pPr>
            <w:r w:rsidRPr="00D36F61">
              <w:rPr>
                <w:sz w:val="22"/>
                <w:szCs w:val="22"/>
              </w:rPr>
              <w:t>Cardiff Rugby Community Foundation Director</w:t>
            </w:r>
          </w:p>
          <w:p w14:paraId="5869EB4C" w14:textId="146FE6D6" w:rsidR="00B91700" w:rsidRPr="00D36F61" w:rsidRDefault="00B91700" w:rsidP="00B91700">
            <w:pPr>
              <w:rPr>
                <w:sz w:val="22"/>
                <w:szCs w:val="22"/>
              </w:rPr>
            </w:pPr>
          </w:p>
        </w:tc>
      </w:tr>
      <w:tr w:rsidR="00B91700" w14:paraId="7F342868" w14:textId="77777777" w:rsidTr="00B91700">
        <w:tc>
          <w:tcPr>
            <w:tcW w:w="2263" w:type="dxa"/>
            <w:shd w:val="clear" w:color="auto" w:fill="E8E8E8" w:themeFill="background2"/>
          </w:tcPr>
          <w:p w14:paraId="028B0C73" w14:textId="77777777" w:rsidR="00B91700" w:rsidRPr="00D36F61" w:rsidRDefault="00B91700" w:rsidP="00B91700">
            <w:pPr>
              <w:rPr>
                <w:b/>
                <w:bCs/>
                <w:sz w:val="22"/>
                <w:szCs w:val="22"/>
              </w:rPr>
            </w:pPr>
            <w:r w:rsidRPr="00D36F61">
              <w:rPr>
                <w:b/>
                <w:bCs/>
                <w:sz w:val="22"/>
                <w:szCs w:val="22"/>
              </w:rPr>
              <w:t>Contractual Status</w:t>
            </w:r>
          </w:p>
        </w:tc>
        <w:tc>
          <w:tcPr>
            <w:tcW w:w="6747" w:type="dxa"/>
          </w:tcPr>
          <w:p w14:paraId="5DC2603E" w14:textId="77777777" w:rsidR="00B91700" w:rsidRDefault="00B91700" w:rsidP="00B91700">
            <w:pPr>
              <w:rPr>
                <w:sz w:val="22"/>
                <w:szCs w:val="22"/>
              </w:rPr>
            </w:pPr>
            <w:r w:rsidRPr="00D36F61">
              <w:rPr>
                <w:sz w:val="22"/>
                <w:szCs w:val="22"/>
              </w:rPr>
              <w:t>Permanent</w:t>
            </w:r>
          </w:p>
          <w:p w14:paraId="2B693C1F" w14:textId="48DF4777" w:rsidR="00B91700" w:rsidRPr="00D36F61" w:rsidRDefault="00B91700" w:rsidP="00B91700">
            <w:pPr>
              <w:rPr>
                <w:sz w:val="22"/>
                <w:szCs w:val="22"/>
              </w:rPr>
            </w:pPr>
          </w:p>
        </w:tc>
      </w:tr>
      <w:tr w:rsidR="00B91700" w14:paraId="5C1BBF54" w14:textId="77777777" w:rsidTr="00B91700">
        <w:tc>
          <w:tcPr>
            <w:tcW w:w="2263" w:type="dxa"/>
            <w:shd w:val="clear" w:color="auto" w:fill="E8E8E8" w:themeFill="background2"/>
          </w:tcPr>
          <w:p w14:paraId="0EFF2900" w14:textId="77777777" w:rsidR="00B91700" w:rsidRPr="00D36F61" w:rsidRDefault="00B91700" w:rsidP="00B91700">
            <w:pPr>
              <w:rPr>
                <w:b/>
                <w:bCs/>
                <w:sz w:val="22"/>
                <w:szCs w:val="22"/>
              </w:rPr>
            </w:pPr>
            <w:r w:rsidRPr="00D36F61">
              <w:rPr>
                <w:b/>
                <w:bCs/>
                <w:sz w:val="22"/>
                <w:szCs w:val="22"/>
              </w:rPr>
              <w:t>Role Summary</w:t>
            </w:r>
          </w:p>
        </w:tc>
        <w:tc>
          <w:tcPr>
            <w:tcW w:w="6747" w:type="dxa"/>
          </w:tcPr>
          <w:p w14:paraId="6DD4AB35" w14:textId="4512D1A6" w:rsidR="00B91700" w:rsidRPr="00D36F61" w:rsidRDefault="00B91700" w:rsidP="00B9170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Aid and assist the Cardiff Rugby Community Foundation by overseeing day to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day management of community rugby officers and workstreams. Maintain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excellent working relationships with key partners. Create, monitor and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r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eview delivery programmes.</w:t>
            </w:r>
          </w:p>
          <w:p w14:paraId="12B8F1AA" w14:textId="77777777" w:rsidR="00B91700" w:rsidRPr="00D36F61" w:rsidRDefault="00B91700" w:rsidP="00B91700">
            <w:pPr>
              <w:pStyle w:val="p1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91700" w14:paraId="0F1F50FE" w14:textId="77777777" w:rsidTr="00B91700">
        <w:tc>
          <w:tcPr>
            <w:tcW w:w="2263" w:type="dxa"/>
            <w:shd w:val="clear" w:color="auto" w:fill="E8E8E8" w:themeFill="background2"/>
          </w:tcPr>
          <w:p w14:paraId="2F87D8AD" w14:textId="77777777" w:rsidR="00B91700" w:rsidRPr="00D36F61" w:rsidRDefault="00B91700" w:rsidP="00B91700">
            <w:pPr>
              <w:rPr>
                <w:b/>
                <w:bCs/>
                <w:sz w:val="22"/>
                <w:szCs w:val="22"/>
              </w:rPr>
            </w:pPr>
            <w:r w:rsidRPr="00D36F61">
              <w:rPr>
                <w:b/>
                <w:bCs/>
                <w:sz w:val="22"/>
                <w:szCs w:val="22"/>
              </w:rPr>
              <w:t>Key Relationships (subject to change)</w:t>
            </w:r>
          </w:p>
        </w:tc>
        <w:tc>
          <w:tcPr>
            <w:tcW w:w="6747" w:type="dxa"/>
          </w:tcPr>
          <w:p w14:paraId="0990328D" w14:textId="129D1B7D" w:rsidR="00B91700" w:rsidRPr="00D36F61" w:rsidRDefault="00B91700" w:rsidP="00B91700">
            <w:pPr>
              <w:pStyle w:val="p1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 xml:space="preserve">Work closely with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community foundation rugby officers and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other departments within Cardiff Rugby</w:t>
            </w:r>
          </w:p>
          <w:p w14:paraId="7BF00C8F" w14:textId="616EC3A8" w:rsidR="00B91700" w:rsidRDefault="00B91700" w:rsidP="00B91700">
            <w:pPr>
              <w:pStyle w:val="p1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Form excellent working relationships with Schools and Higher Education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establishments such as colleges and Universities</w:t>
            </w:r>
          </w:p>
          <w:p w14:paraId="431EB2C6" w14:textId="77777777" w:rsidR="00B91700" w:rsidRDefault="00B91700" w:rsidP="00B91700">
            <w:pPr>
              <w:pStyle w:val="p1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Work alongside unitary authority members of staff</w:t>
            </w:r>
          </w:p>
          <w:p w14:paraId="0BBD3445" w14:textId="77777777" w:rsidR="00B91700" w:rsidRPr="00D36F61" w:rsidRDefault="00B91700" w:rsidP="00B91700">
            <w:pPr>
              <w:pStyle w:val="p1"/>
              <w:numPr>
                <w:ilvl w:val="0"/>
                <w:numId w:val="1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Work closely with WRU staff</w:t>
            </w:r>
          </w:p>
          <w:p w14:paraId="748AE27A" w14:textId="77777777" w:rsidR="00B91700" w:rsidRPr="00D36F61" w:rsidRDefault="00B91700" w:rsidP="00B91700">
            <w:pPr>
              <w:rPr>
                <w:sz w:val="22"/>
                <w:szCs w:val="22"/>
              </w:rPr>
            </w:pPr>
          </w:p>
        </w:tc>
      </w:tr>
      <w:tr w:rsidR="00B91700" w14:paraId="79B34ADB" w14:textId="77777777" w:rsidTr="00B91700">
        <w:tc>
          <w:tcPr>
            <w:tcW w:w="2263" w:type="dxa"/>
            <w:shd w:val="clear" w:color="auto" w:fill="E8E8E8" w:themeFill="background2"/>
          </w:tcPr>
          <w:p w14:paraId="3F72DEB0" w14:textId="15E7813C" w:rsidR="00B91700" w:rsidRPr="00D36F61" w:rsidRDefault="00B91700" w:rsidP="00B91700">
            <w:pPr>
              <w:rPr>
                <w:b/>
                <w:bCs/>
                <w:sz w:val="22"/>
                <w:szCs w:val="22"/>
              </w:rPr>
            </w:pPr>
            <w:r w:rsidRPr="00D36F61">
              <w:rPr>
                <w:b/>
                <w:bCs/>
                <w:sz w:val="22"/>
                <w:szCs w:val="22"/>
              </w:rPr>
              <w:t xml:space="preserve">Key Responsibilities, Tasks and Experience </w:t>
            </w:r>
          </w:p>
        </w:tc>
        <w:tc>
          <w:tcPr>
            <w:tcW w:w="6747" w:type="dxa"/>
          </w:tcPr>
          <w:p w14:paraId="34D5EB8B" w14:textId="72FDDC9E" w:rsidR="00B91700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Day to day administration and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 xml:space="preserve"> management of </w:t>
            </w: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ommunity staff</w:t>
            </w:r>
          </w:p>
          <w:p w14:paraId="0DB9F2AA" w14:textId="77777777" w:rsidR="00B91700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line managing employees, overseeing and implementing individual KPI’s</w:t>
            </w:r>
          </w:p>
          <w:p w14:paraId="319F1BF5" w14:textId="7E54CACA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Ability to build and maintain professional, trusting and working relationships with key stakeholders and employees</w:t>
            </w:r>
          </w:p>
          <w:p w14:paraId="40004252" w14:textId="77777777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Manage and maintain a record of staff qualifications, DBS &amp; training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needs.</w:t>
            </w:r>
          </w:p>
          <w:p w14:paraId="64FD2618" w14:textId="04F5AC7C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Manage match day community activation, staffing and all community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events.</w:t>
            </w:r>
          </w:p>
          <w:p w14:paraId="5EAB4C8B" w14:textId="02189A81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Work with the Community Foundation Director to manage workstreams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in line with key partners and sponsors requirements</w:t>
            </w:r>
          </w:p>
          <w:p w14:paraId="6CA46AED" w14:textId="700F696A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Experience c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reat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, develop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, maintain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 xml:space="preserve"> and evaluat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ing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core work programmes</w:t>
            </w:r>
            <w:r w:rsidR="00C35EAC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AA6FEA7" w14:textId="560E067D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Manage relationships with partner schools</w:t>
            </w:r>
            <w:r w:rsidR="00C35EAC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external organisations</w:t>
            </w:r>
            <w:r w:rsidR="00C35EAC">
              <w:rPr>
                <w:rFonts w:asciiTheme="minorHAnsi" w:hAnsiTheme="minorHAnsi"/>
                <w:sz w:val="22"/>
                <w:szCs w:val="22"/>
              </w:rPr>
              <w:t xml:space="preserve"> and commercial </w:t>
            </w:r>
            <w:r w:rsidR="00771DB3">
              <w:rPr>
                <w:rFonts w:asciiTheme="minorHAnsi" w:hAnsiTheme="minorHAnsi"/>
                <w:sz w:val="22"/>
                <w:szCs w:val="22"/>
              </w:rPr>
              <w:t>clients</w:t>
            </w:r>
          </w:p>
          <w:p w14:paraId="738456E8" w14:textId="77777777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Represent Community in department meetings</w:t>
            </w:r>
          </w:p>
          <w:p w14:paraId="3707076E" w14:textId="2E8B5D95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Experience in working with and recruiting volunteers, creating a sustainable volunteer recruitment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 xml:space="preserve"> strategy of community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coaches</w:t>
            </w:r>
          </w:p>
          <w:p w14:paraId="23B4D843" w14:textId="3A1D5829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Budget management of casual staff</w:t>
            </w:r>
          </w:p>
          <w:p w14:paraId="6BD938E3" w14:textId="77777777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Gather and maintain such data as may be required for monitoring the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effectiveness of the Foundation programmes and to report this 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required</w:t>
            </w:r>
          </w:p>
          <w:p w14:paraId="07683F4D" w14:textId="77777777" w:rsidR="00B91700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D36F61">
              <w:rPr>
                <w:rFonts w:asciiTheme="minorHAnsi" w:hAnsiTheme="minorHAnsi"/>
                <w:sz w:val="22"/>
                <w:szCs w:val="22"/>
              </w:rPr>
              <w:t>Contribute to the development and maintenance of a safe and inclusive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working environment in all places of work, including through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compliance with policies relating to health and safety, equality,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D36F61">
              <w:rPr>
                <w:rFonts w:asciiTheme="minorHAnsi" w:hAnsiTheme="minorHAnsi"/>
                <w:sz w:val="22"/>
                <w:szCs w:val="22"/>
              </w:rPr>
              <w:t>safeguarding, confidentiality, social media and data protection (as per CRCF setting requirements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45511090" w14:textId="77777777" w:rsidR="00B91700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Excellent working knowledge of Microsoft Office Suite</w:t>
            </w:r>
          </w:p>
          <w:p w14:paraId="51F548DE" w14:textId="77777777" w:rsidR="00B91700" w:rsidRPr="00D36F61" w:rsidRDefault="00B91700" w:rsidP="00B91700">
            <w:pPr>
              <w:pStyle w:val="p1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Excellent planning and organisational skills, managing multiple workstreams, with the ability to problem solve and adapt </w:t>
            </w:r>
          </w:p>
          <w:p w14:paraId="49F93D59" w14:textId="77777777" w:rsidR="00B91700" w:rsidRPr="00D36F61" w:rsidRDefault="00B91700" w:rsidP="00B91700">
            <w:pPr>
              <w:rPr>
                <w:sz w:val="22"/>
                <w:szCs w:val="22"/>
              </w:rPr>
            </w:pPr>
          </w:p>
        </w:tc>
      </w:tr>
    </w:tbl>
    <w:p w14:paraId="22530225" w14:textId="206AA492" w:rsidR="00B91700" w:rsidRDefault="00B91700">
      <w:r>
        <w:rPr>
          <w:noProof/>
        </w:rPr>
        <w:lastRenderedPageBreak/>
        <w:t xml:space="preserve"> </w:t>
      </w:r>
    </w:p>
    <w:p w14:paraId="7B54E443" w14:textId="4A0EE371" w:rsidR="005869CA" w:rsidRDefault="005869CA"/>
    <w:p w14:paraId="6529C9E4" w14:textId="77777777" w:rsidR="00D36F61" w:rsidRDefault="00D36F61" w:rsidP="00B91700">
      <w:pPr>
        <w:jc w:val="center"/>
        <w:rPr>
          <w:i/>
          <w:iCs/>
          <w:sz w:val="22"/>
          <w:szCs w:val="22"/>
        </w:rPr>
      </w:pPr>
    </w:p>
    <w:p w14:paraId="761F2153" w14:textId="088B5ADF" w:rsidR="00D36F61" w:rsidRPr="00D36F61" w:rsidRDefault="00D36F61" w:rsidP="00B91700">
      <w:pPr>
        <w:jc w:val="center"/>
        <w:rPr>
          <w:i/>
          <w:iCs/>
          <w:sz w:val="22"/>
          <w:szCs w:val="22"/>
        </w:rPr>
      </w:pPr>
      <w:r w:rsidRPr="00D36F61">
        <w:rPr>
          <w:i/>
          <w:iCs/>
          <w:sz w:val="22"/>
          <w:szCs w:val="22"/>
        </w:rPr>
        <w:t>The Role description is subject to change pending review by the role holder and their line manager.</w:t>
      </w:r>
    </w:p>
    <w:p w14:paraId="47216CE4" w14:textId="77777777" w:rsidR="00D36F61" w:rsidRDefault="00D36F61"/>
    <w:sectPr w:rsidR="00D36F61" w:rsidSect="00C2063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9821" w14:textId="77777777" w:rsidR="00237F1F" w:rsidRDefault="00237F1F" w:rsidP="00B91700">
      <w:r>
        <w:separator/>
      </w:r>
    </w:p>
  </w:endnote>
  <w:endnote w:type="continuationSeparator" w:id="0">
    <w:p w14:paraId="019557B5" w14:textId="77777777" w:rsidR="00237F1F" w:rsidRDefault="00237F1F" w:rsidP="00B9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A8DA" w14:textId="77777777" w:rsidR="00237F1F" w:rsidRDefault="00237F1F" w:rsidP="00B91700">
      <w:r>
        <w:separator/>
      </w:r>
    </w:p>
  </w:footnote>
  <w:footnote w:type="continuationSeparator" w:id="0">
    <w:p w14:paraId="5FE5D4D3" w14:textId="77777777" w:rsidR="00237F1F" w:rsidRDefault="00237F1F" w:rsidP="00B91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F58AB"/>
    <w:multiLevelType w:val="hybridMultilevel"/>
    <w:tmpl w:val="AB08EDF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1531F0A"/>
    <w:multiLevelType w:val="hybridMultilevel"/>
    <w:tmpl w:val="495E25F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120298620">
    <w:abstractNumId w:val="1"/>
  </w:num>
  <w:num w:numId="2" w16cid:durableId="181352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61"/>
    <w:rsid w:val="00063AE3"/>
    <w:rsid w:val="002141D9"/>
    <w:rsid w:val="00237F1F"/>
    <w:rsid w:val="003619D3"/>
    <w:rsid w:val="004150EF"/>
    <w:rsid w:val="005869CA"/>
    <w:rsid w:val="00586A3F"/>
    <w:rsid w:val="00625959"/>
    <w:rsid w:val="00683B7C"/>
    <w:rsid w:val="006B522E"/>
    <w:rsid w:val="00771DB3"/>
    <w:rsid w:val="0089552B"/>
    <w:rsid w:val="00964EF5"/>
    <w:rsid w:val="00966294"/>
    <w:rsid w:val="00A2666F"/>
    <w:rsid w:val="00B43571"/>
    <w:rsid w:val="00B61EC9"/>
    <w:rsid w:val="00B91700"/>
    <w:rsid w:val="00C2063B"/>
    <w:rsid w:val="00C35EAC"/>
    <w:rsid w:val="00C74BB9"/>
    <w:rsid w:val="00D36F61"/>
    <w:rsid w:val="00D94907"/>
    <w:rsid w:val="00E05C37"/>
    <w:rsid w:val="00E41370"/>
    <w:rsid w:val="00E46112"/>
    <w:rsid w:val="00E75DF8"/>
    <w:rsid w:val="00FE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9880E"/>
  <w14:defaultImageDpi w14:val="32767"/>
  <w15:chartTrackingRefBased/>
  <w15:docId w15:val="{956B0291-04BE-4342-8483-72416AAB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6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F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F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F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F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F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F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F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F6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36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36F61"/>
    <w:rPr>
      <w:rFonts w:ascii="Helvetica" w:eastAsia="Times New Roman" w:hAnsi="Helvetica" w:cs="Times New Roman"/>
      <w:color w:val="000000"/>
      <w:kern w:val="0"/>
      <w:sz w:val="17"/>
      <w:szCs w:val="17"/>
      <w:lang w:eastAsia="en-GB"/>
      <w14:ligatures w14:val="none"/>
    </w:rPr>
  </w:style>
  <w:style w:type="character" w:customStyle="1" w:styleId="s1">
    <w:name w:val="s1"/>
    <w:basedOn w:val="DefaultParagraphFont"/>
    <w:rsid w:val="00D36F61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DefaultParagraphFont"/>
    <w:rsid w:val="00D36F61"/>
  </w:style>
  <w:style w:type="paragraph" w:styleId="Header">
    <w:name w:val="header"/>
    <w:basedOn w:val="Normal"/>
    <w:link w:val="HeaderChar"/>
    <w:uiPriority w:val="99"/>
    <w:unhideWhenUsed/>
    <w:rsid w:val="00B917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00"/>
  </w:style>
  <w:style w:type="paragraph" w:styleId="Footer">
    <w:name w:val="footer"/>
    <w:basedOn w:val="Normal"/>
    <w:link w:val="FooterChar"/>
    <w:uiPriority w:val="99"/>
    <w:unhideWhenUsed/>
    <w:rsid w:val="00B917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2300</Characters>
  <Application>Microsoft Office Word</Application>
  <DocSecurity>0</DocSecurity>
  <Lines>80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Bronnie Jones</dc:creator>
  <cp:keywords/>
  <dc:description/>
  <cp:lastModifiedBy>Mike Brown</cp:lastModifiedBy>
  <cp:revision>2</cp:revision>
  <dcterms:created xsi:type="dcterms:W3CDTF">2026-05-21T09:55:00Z</dcterms:created>
  <dcterms:modified xsi:type="dcterms:W3CDTF">2026-05-21T09:55:00Z</dcterms:modified>
</cp:coreProperties>
</file>